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40"/>
        <w:jc w:val="right"/>
      </w:pPr>
      <w:r>
        <w:rPr/>
        <w:t>ADOPTED – OCTOBER 27, 2026 AGENDA ITEM NO. 18</w:t>
      </w:r>
    </w:p>
    <w:p>
      <w:pPr>
        <w:pStyle w:val="BodyText"/>
        <w:spacing w:before="7"/>
        <w:rPr>
          <w:b/>
          <w:sz w:val="16"/>
        </w:rPr>
      </w:pPr>
    </w:p>
    <w:p>
      <w:pPr>
        <w:pStyle w:val="BodyText"/>
        <w:spacing w:before="90"/>
        <w:ind w:left="160"/>
      </w:pPr>
      <w:r>
        <w:rPr/>
        <w:t>Introduced by the Finance Committee of the:</w:t>
      </w:r>
    </w:p>
    <w:p>
      <w:pPr>
        <w:pStyle w:val="BodyText"/>
        <w:spacing w:before="6"/>
        <w:rPr>
          <w:sz w:val="27"/>
        </w:rPr>
      </w:pPr>
    </w:p>
    <w:p>
      <w:pPr>
        <w:pStyle w:val="BodyText"/>
        <w:ind w:left="1649" w:right="1593"/>
        <w:jc w:val="center"/>
      </w:pPr>
      <w:r>
        <w:rPr/>
        <w:t>INGHAM COUNTY BOARD OF COMMISSIONERS</w:t>
      </w:r>
    </w:p>
    <w:p>
      <w:pPr>
        <w:pStyle w:val="BodyText"/>
      </w:pPr>
    </w:p>
    <w:p>
      <w:pPr>
        <w:pStyle w:val="Heading1"/>
        <w:spacing w:line="480" w:lineRule="auto"/>
        <w:ind w:right="1593" w:firstLine="0"/>
      </w:pPr>
      <w:r>
        <w:rPr/>
        <w:t>INGHAM COUNTY 2027 GENERAL APPROPRIATIONS RESOLUTION RESOLUTION #26 – 529</w:t>
      </w:r>
    </w:p>
    <w:p>
      <w:pPr>
        <w:pStyle w:val="BodyText"/>
        <w:rPr>
          <w:b/>
        </w:rPr>
      </w:pPr>
    </w:p>
    <w:p>
      <w:pPr>
        <w:pStyle w:val="BodyText"/>
        <w:ind w:left="160" w:right="235"/>
      </w:pPr>
      <w:r>
        <w:rPr/>
        <w:t>WHEREAS, the Uniform Budgeting and Accounting Act, Public Act 621 of 1978, requires that each local unit of government adopt a balanced budget for all required funds; and</w:t>
      </w:r>
    </w:p>
    <w:p>
      <w:pPr>
        <w:pStyle w:val="BodyText"/>
      </w:pPr>
    </w:p>
    <w:p>
      <w:pPr>
        <w:pStyle w:val="BodyText"/>
        <w:ind w:left="160" w:right="469"/>
      </w:pPr>
      <w:r>
        <w:rPr/>
        <w:t>WHEREAS, county offices, the courts, county departments, and others have submitted requests for a county appropriation in the 2027 budget; and</w:t>
      </w:r>
    </w:p>
    <w:p>
      <w:pPr>
        <w:pStyle w:val="BodyText"/>
      </w:pPr>
    </w:p>
    <w:p>
      <w:pPr>
        <w:pStyle w:val="BodyText"/>
        <w:ind w:left="160" w:right="262"/>
      </w:pPr>
      <w:r>
        <w:rPr/>
        <w:t>WHEREAS, the County Controller has considered these requests and has submitted a recommended budget as required by statute and Board of Commissioners’ resolution; and</w:t>
      </w:r>
    </w:p>
    <w:p>
      <w:pPr>
        <w:pStyle w:val="BodyText"/>
      </w:pPr>
    </w:p>
    <w:p>
      <w:pPr>
        <w:pStyle w:val="BodyText"/>
        <w:ind w:left="160" w:right="295"/>
      </w:pPr>
      <w:r>
        <w:rPr/>
        <w:t>WHEREAS, the various liaison committees of the Board of Commissioners have reviewed their section of the Controller's Recommended Budget and have made recommendations for approval or modification to the Finance Committee; and</w:t>
      </w:r>
    </w:p>
    <w:p>
      <w:pPr>
        <w:pStyle w:val="BodyText"/>
      </w:pPr>
    </w:p>
    <w:p>
      <w:pPr>
        <w:pStyle w:val="BodyText"/>
        <w:spacing w:before="1"/>
        <w:ind w:left="160"/>
      </w:pPr>
      <w:r>
        <w:rPr/>
        <w:t>WHEREAS, the Finance Committee has reviewed each liaison committees’ recommendations and together with its own Strategic Planning Initiatives Fund allotment; and</w:t>
      </w:r>
    </w:p>
    <w:p>
      <w:pPr>
        <w:pStyle w:val="BodyText"/>
        <w:spacing w:before="11"/>
        <w:rPr>
          <w:sz w:val="23"/>
        </w:rPr>
      </w:pPr>
    </w:p>
    <w:p>
      <w:pPr>
        <w:pStyle w:val="BodyText"/>
        <w:ind w:left="160" w:right="582"/>
      </w:pPr>
      <w:r>
        <w:rPr/>
        <w:t>WHEREAS, the Board of Commissioners annually adopts a balanced budget and authorizes appropriations subject to the conditions set forth in its annual General Appropriations Resolution.</w:t>
      </w:r>
    </w:p>
    <w:p>
      <w:pPr>
        <w:pStyle w:val="BodyText"/>
      </w:pPr>
    </w:p>
    <w:p>
      <w:pPr>
        <w:pStyle w:val="BodyText"/>
        <w:ind w:left="160" w:right="121"/>
      </w:pPr>
      <w:r>
        <w:rPr/>
        <w:t>THEREFORE BE IT RESOLVED, that the 2027 Ingham County Budget, as set forth in the Finance Committee Recommended Budget, dated September 9, 2026 and incorporated by reference herein, is hereby adopted on a basis consistent with Ingham County's Budget Adoption and Amendment Policies and subject to all county policies regarding the expenditure of funds and the conditions set forth in this resolution.</w:t>
      </w:r>
    </w:p>
    <w:p>
      <w:pPr>
        <w:pStyle w:val="BodyText"/>
      </w:pPr>
    </w:p>
    <w:p>
      <w:pPr>
        <w:pStyle w:val="BodyText"/>
        <w:ind w:left="160" w:right="275"/>
      </w:pPr>
      <w:r>
        <w:rPr/>
        <w:t>BE IT FURTHER RESOLVED, that the following tax levies are hereby authorized for the 2026 tax year/2027 budget year for a total county levy of 12.3976 mills, including authorized levies for General Fund operations and special purpose millages:</w:t>
      </w:r>
    </w:p>
    <w:p>
      <w:pPr>
        <w:pStyle w:val="BodyText"/>
        <w:spacing w:before="10" w:after="1"/>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46"/>
        <w:gridCol w:w="2513"/>
      </w:tblGrid>
      <w:tr>
        <w:trPr>
          <w:trHeight w:val="270" w:hRule="atLeast"/>
        </w:trPr>
        <w:tc>
          <w:tcPr>
            <w:tcW w:w="6946" w:type="dxa"/>
          </w:tcPr>
          <w:p>
            <w:pPr>
              <w:pStyle w:val="TableParagraph"/>
              <w:spacing w:line="251" w:lineRule="exact"/>
              <w:ind w:left="50"/>
              <w:rPr>
                <w:sz w:val="24"/>
              </w:rPr>
            </w:pPr>
            <w:r>
              <w:rPr>
                <w:sz w:val="24"/>
                <w:u w:val="single"/>
              </w:rPr>
              <w:t>2026/27 Millage Summary</w:t>
            </w:r>
          </w:p>
        </w:tc>
        <w:tc>
          <w:tcPr>
            <w:tcW w:w="2513" w:type="dxa"/>
          </w:tcPr>
          <w:p>
            <w:pPr>
              <w:pStyle w:val="TableParagraph"/>
              <w:spacing w:line="240" w:lineRule="auto"/>
              <w:rPr>
                <w:sz w:val="20"/>
              </w:rPr>
            </w:pPr>
          </w:p>
        </w:tc>
      </w:tr>
      <w:tr>
        <w:trPr>
          <w:trHeight w:val="276" w:hRule="atLeast"/>
        </w:trPr>
        <w:tc>
          <w:tcPr>
            <w:tcW w:w="6946" w:type="dxa"/>
          </w:tcPr>
          <w:p>
            <w:pPr>
              <w:pStyle w:val="TableParagraph"/>
              <w:ind w:left="50"/>
              <w:rPr>
                <w:sz w:val="24"/>
              </w:rPr>
            </w:pPr>
            <w:r>
              <w:rPr>
                <w:sz w:val="24"/>
                <w:u w:val="single"/>
              </w:rPr>
              <w:t>Purpose</w:t>
            </w:r>
          </w:p>
        </w:tc>
        <w:tc>
          <w:tcPr>
            <w:tcW w:w="2513" w:type="dxa"/>
          </w:tcPr>
          <w:p>
            <w:pPr>
              <w:pStyle w:val="TableParagraph"/>
              <w:ind w:right="48"/>
              <w:jc w:val="right"/>
              <w:rPr>
                <w:sz w:val="24"/>
              </w:rPr>
            </w:pPr>
            <w:r>
              <w:rPr>
                <w:sz w:val="24"/>
                <w:u w:val="single"/>
              </w:rPr>
              <w:t>Millage</w:t>
            </w:r>
          </w:p>
        </w:tc>
      </w:tr>
      <w:tr>
        <w:trPr>
          <w:trHeight w:val="274" w:hRule="atLeast"/>
        </w:trPr>
        <w:tc>
          <w:tcPr>
            <w:tcW w:w="6946" w:type="dxa"/>
          </w:tcPr>
          <w:p>
            <w:pPr>
              <w:pStyle w:val="TableParagraph"/>
              <w:spacing w:line="255" w:lineRule="exact"/>
              <w:ind w:left="50"/>
              <w:rPr>
                <w:sz w:val="24"/>
              </w:rPr>
            </w:pPr>
            <w:r>
              <w:rPr>
                <w:sz w:val="24"/>
              </w:rPr>
              <w:t>General Operations</w:t>
            </w:r>
          </w:p>
        </w:tc>
        <w:tc>
          <w:tcPr>
            <w:tcW w:w="2513" w:type="dxa"/>
          </w:tcPr>
          <w:p>
            <w:pPr>
              <w:pStyle w:val="TableParagraph"/>
              <w:spacing w:line="255" w:lineRule="exact"/>
              <w:ind w:right="48"/>
              <w:jc w:val="right"/>
              <w:rPr>
                <w:sz w:val="24"/>
              </w:rPr>
            </w:pPr>
            <w:r>
              <w:rPr>
                <w:sz w:val="24"/>
              </w:rPr>
              <w:t>6.7222</w:t>
            </w:r>
          </w:p>
        </w:tc>
      </w:tr>
      <w:tr>
        <w:trPr>
          <w:trHeight w:val="274" w:hRule="atLeast"/>
        </w:trPr>
        <w:tc>
          <w:tcPr>
            <w:tcW w:w="6946" w:type="dxa"/>
          </w:tcPr>
          <w:p>
            <w:pPr>
              <w:pStyle w:val="TableParagraph"/>
              <w:spacing w:line="255" w:lineRule="exact"/>
              <w:ind w:left="50"/>
              <w:rPr>
                <w:sz w:val="24"/>
              </w:rPr>
            </w:pPr>
            <w:r>
              <w:rPr>
                <w:sz w:val="24"/>
              </w:rPr>
              <w:t>General Operations – Indigent Veterans Support</w:t>
            </w:r>
          </w:p>
        </w:tc>
        <w:tc>
          <w:tcPr>
            <w:tcW w:w="2513" w:type="dxa"/>
          </w:tcPr>
          <w:p>
            <w:pPr>
              <w:pStyle w:val="TableParagraph"/>
              <w:spacing w:line="255" w:lineRule="exact"/>
              <w:ind w:right="48"/>
              <w:jc w:val="right"/>
              <w:rPr>
                <w:sz w:val="24"/>
              </w:rPr>
            </w:pPr>
            <w:r>
              <w:rPr>
                <w:sz w:val="24"/>
              </w:rPr>
              <w:t>.0326</w:t>
            </w:r>
          </w:p>
        </w:tc>
      </w:tr>
      <w:tr>
        <w:trPr>
          <w:trHeight w:val="276" w:hRule="atLeast"/>
        </w:trPr>
        <w:tc>
          <w:tcPr>
            <w:tcW w:w="6946" w:type="dxa"/>
          </w:tcPr>
          <w:p>
            <w:pPr>
              <w:pStyle w:val="TableParagraph"/>
              <w:ind w:left="50"/>
              <w:rPr>
                <w:sz w:val="24"/>
              </w:rPr>
            </w:pPr>
            <w:r>
              <w:rPr>
                <w:sz w:val="24"/>
              </w:rPr>
              <w:t>Special Purpose - Emergency Telephone Services</w:t>
            </w:r>
          </w:p>
        </w:tc>
        <w:tc>
          <w:tcPr>
            <w:tcW w:w="2513" w:type="dxa"/>
          </w:tcPr>
          <w:p>
            <w:pPr>
              <w:pStyle w:val="TableParagraph"/>
              <w:ind w:right="48"/>
              <w:jc w:val="right"/>
              <w:rPr>
                <w:sz w:val="24"/>
              </w:rPr>
            </w:pPr>
            <w:r>
              <w:rPr>
                <w:sz w:val="24"/>
              </w:rPr>
              <w:t>.8450</w:t>
            </w:r>
          </w:p>
        </w:tc>
      </w:tr>
      <w:tr>
        <w:trPr>
          <w:trHeight w:val="275" w:hRule="atLeast"/>
        </w:trPr>
        <w:tc>
          <w:tcPr>
            <w:tcW w:w="6946" w:type="dxa"/>
          </w:tcPr>
          <w:p>
            <w:pPr>
              <w:pStyle w:val="TableParagraph"/>
              <w:ind w:left="50"/>
              <w:rPr>
                <w:sz w:val="24"/>
              </w:rPr>
            </w:pPr>
            <w:r>
              <w:rPr>
                <w:sz w:val="24"/>
              </w:rPr>
              <w:t>Special Purpose - County-wide Transportation</w:t>
            </w:r>
          </w:p>
        </w:tc>
        <w:tc>
          <w:tcPr>
            <w:tcW w:w="2513" w:type="dxa"/>
          </w:tcPr>
          <w:p>
            <w:pPr>
              <w:pStyle w:val="TableParagraph"/>
              <w:ind w:right="48"/>
              <w:jc w:val="right"/>
              <w:rPr>
                <w:sz w:val="24"/>
              </w:rPr>
            </w:pPr>
            <w:r>
              <w:rPr>
                <w:sz w:val="24"/>
              </w:rPr>
              <w:t>.5965</w:t>
            </w:r>
          </w:p>
        </w:tc>
      </w:tr>
      <w:tr>
        <w:trPr>
          <w:trHeight w:val="276" w:hRule="atLeast"/>
        </w:trPr>
        <w:tc>
          <w:tcPr>
            <w:tcW w:w="6946" w:type="dxa"/>
          </w:tcPr>
          <w:p>
            <w:pPr>
              <w:pStyle w:val="TableParagraph"/>
              <w:ind w:left="50"/>
              <w:rPr>
                <w:sz w:val="24"/>
              </w:rPr>
            </w:pPr>
            <w:r>
              <w:rPr>
                <w:sz w:val="24"/>
              </w:rPr>
              <w:t>Special Purpose - Juvenile Justice</w:t>
            </w:r>
          </w:p>
        </w:tc>
        <w:tc>
          <w:tcPr>
            <w:tcW w:w="2513" w:type="dxa"/>
          </w:tcPr>
          <w:p>
            <w:pPr>
              <w:pStyle w:val="TableParagraph"/>
              <w:ind w:right="48"/>
              <w:jc w:val="right"/>
              <w:rPr>
                <w:sz w:val="24"/>
              </w:rPr>
            </w:pPr>
            <w:r>
              <w:rPr>
                <w:sz w:val="24"/>
              </w:rPr>
              <w:t>.5977</w:t>
            </w:r>
          </w:p>
        </w:tc>
      </w:tr>
      <w:tr>
        <w:trPr>
          <w:trHeight w:val="275" w:hRule="atLeast"/>
        </w:trPr>
        <w:tc>
          <w:tcPr>
            <w:tcW w:w="6946" w:type="dxa"/>
          </w:tcPr>
          <w:p>
            <w:pPr>
              <w:pStyle w:val="TableParagraph"/>
              <w:ind w:left="50"/>
              <w:rPr>
                <w:sz w:val="24"/>
              </w:rPr>
            </w:pPr>
            <w:r>
              <w:rPr>
                <w:sz w:val="24"/>
              </w:rPr>
              <w:t>Special Purpose - Potter Park Zoo and Potter Park</w:t>
            </w:r>
          </w:p>
        </w:tc>
        <w:tc>
          <w:tcPr>
            <w:tcW w:w="2513" w:type="dxa"/>
          </w:tcPr>
          <w:p>
            <w:pPr>
              <w:pStyle w:val="TableParagraph"/>
              <w:ind w:right="48"/>
              <w:jc w:val="right"/>
              <w:rPr>
                <w:sz w:val="24"/>
              </w:rPr>
            </w:pPr>
            <w:r>
              <w:rPr>
                <w:sz w:val="24"/>
              </w:rPr>
              <w:t>.4967</w:t>
            </w:r>
          </w:p>
        </w:tc>
      </w:tr>
      <w:tr>
        <w:trPr>
          <w:trHeight w:val="270" w:hRule="atLeast"/>
        </w:trPr>
        <w:tc>
          <w:tcPr>
            <w:tcW w:w="6946" w:type="dxa"/>
          </w:tcPr>
          <w:p>
            <w:pPr>
              <w:pStyle w:val="TableParagraph"/>
              <w:spacing w:line="251" w:lineRule="exact"/>
              <w:ind w:left="50"/>
              <w:rPr>
                <w:sz w:val="24"/>
              </w:rPr>
            </w:pPr>
            <w:r>
              <w:rPr>
                <w:sz w:val="24"/>
              </w:rPr>
              <w:t>Special Purpose – Farmland/Open Space Preservation</w:t>
            </w:r>
          </w:p>
        </w:tc>
        <w:tc>
          <w:tcPr>
            <w:tcW w:w="2513" w:type="dxa"/>
          </w:tcPr>
          <w:p>
            <w:pPr>
              <w:pStyle w:val="TableParagraph"/>
              <w:spacing w:line="251" w:lineRule="exact"/>
              <w:ind w:right="48"/>
              <w:jc w:val="right"/>
              <w:rPr>
                <w:sz w:val="24"/>
              </w:rPr>
            </w:pPr>
            <w:r>
              <w:rPr>
                <w:sz w:val="24"/>
              </w:rPr>
              <w:t>.1389</w:t>
            </w:r>
          </w:p>
        </w:tc>
      </w:tr>
    </w:tbl>
    <w:p>
      <w:pPr>
        <w:spacing w:after="0" w:line="251" w:lineRule="exact"/>
        <w:jc w:val="right"/>
        <w:rPr>
          <w:sz w:val="24"/>
        </w:rPr>
        <w:sectPr>
          <w:type w:val="continuous"/>
          <w:pgSz w:w="12240" w:h="15840"/>
          <w:pgMar w:top="1360" w:bottom="280" w:left="560" w:right="620"/>
        </w:sectPr>
      </w:pPr>
    </w:p>
    <w:tbl>
      <w:tblPr>
        <w:tblW w:w="0" w:type="auto"/>
        <w:jc w:val="left"/>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63"/>
        <w:gridCol w:w="2998"/>
      </w:tblGrid>
      <w:tr>
        <w:trPr>
          <w:trHeight w:val="270" w:hRule="atLeast"/>
        </w:trPr>
        <w:tc>
          <w:tcPr>
            <w:tcW w:w="6463" w:type="dxa"/>
          </w:tcPr>
          <w:p>
            <w:pPr>
              <w:pStyle w:val="TableParagraph"/>
              <w:spacing w:line="251" w:lineRule="exact"/>
              <w:ind w:left="50"/>
              <w:rPr>
                <w:sz w:val="24"/>
              </w:rPr>
            </w:pPr>
            <w:r>
              <w:rPr>
                <w:sz w:val="24"/>
              </w:rPr>
              <w:t>Special Purpose – Health Care Services</w:t>
            </w:r>
          </w:p>
        </w:tc>
        <w:tc>
          <w:tcPr>
            <w:tcW w:w="2998" w:type="dxa"/>
          </w:tcPr>
          <w:p>
            <w:pPr>
              <w:pStyle w:val="TableParagraph"/>
              <w:spacing w:line="251" w:lineRule="exact"/>
              <w:ind w:right="50"/>
              <w:jc w:val="right"/>
              <w:rPr>
                <w:sz w:val="24"/>
              </w:rPr>
            </w:pPr>
            <w:r>
              <w:rPr>
                <w:sz w:val="24"/>
              </w:rPr>
              <w:t>.6276</w:t>
            </w:r>
          </w:p>
        </w:tc>
      </w:tr>
      <w:tr>
        <w:trPr>
          <w:trHeight w:val="275" w:hRule="atLeast"/>
        </w:trPr>
        <w:tc>
          <w:tcPr>
            <w:tcW w:w="6463" w:type="dxa"/>
          </w:tcPr>
          <w:p>
            <w:pPr>
              <w:pStyle w:val="TableParagraph"/>
              <w:ind w:left="50"/>
              <w:rPr>
                <w:sz w:val="24"/>
              </w:rPr>
            </w:pPr>
            <w:r>
              <w:rPr>
                <w:sz w:val="24"/>
              </w:rPr>
              <w:t>Special Purpose – Trails and Parks</w:t>
            </w:r>
          </w:p>
        </w:tc>
        <w:tc>
          <w:tcPr>
            <w:tcW w:w="2998" w:type="dxa"/>
          </w:tcPr>
          <w:p>
            <w:pPr>
              <w:pStyle w:val="TableParagraph"/>
              <w:ind w:right="50"/>
              <w:jc w:val="right"/>
              <w:rPr>
                <w:sz w:val="24"/>
              </w:rPr>
            </w:pPr>
            <w:r>
              <w:rPr>
                <w:sz w:val="24"/>
              </w:rPr>
              <w:t>.5000</w:t>
            </w:r>
          </w:p>
        </w:tc>
      </w:tr>
      <w:tr>
        <w:trPr>
          <w:trHeight w:val="275" w:hRule="atLeast"/>
        </w:trPr>
        <w:tc>
          <w:tcPr>
            <w:tcW w:w="6463" w:type="dxa"/>
          </w:tcPr>
          <w:p>
            <w:pPr>
              <w:pStyle w:val="TableParagraph"/>
              <w:ind w:left="50"/>
              <w:rPr>
                <w:sz w:val="24"/>
              </w:rPr>
            </w:pPr>
            <w:r>
              <w:rPr>
                <w:sz w:val="24"/>
              </w:rPr>
              <w:t>Special Purpose – Animal Shelter</w:t>
            </w:r>
          </w:p>
        </w:tc>
        <w:tc>
          <w:tcPr>
            <w:tcW w:w="2998" w:type="dxa"/>
          </w:tcPr>
          <w:p>
            <w:pPr>
              <w:pStyle w:val="TableParagraph"/>
              <w:ind w:right="50"/>
              <w:jc w:val="right"/>
              <w:rPr>
                <w:sz w:val="24"/>
              </w:rPr>
            </w:pPr>
            <w:r>
              <w:rPr>
                <w:sz w:val="24"/>
              </w:rPr>
              <w:t>.1992</w:t>
            </w:r>
          </w:p>
        </w:tc>
      </w:tr>
      <w:tr>
        <w:trPr>
          <w:trHeight w:val="275" w:hRule="atLeast"/>
        </w:trPr>
        <w:tc>
          <w:tcPr>
            <w:tcW w:w="6463" w:type="dxa"/>
          </w:tcPr>
          <w:p>
            <w:pPr>
              <w:pStyle w:val="TableParagraph"/>
              <w:ind w:left="50"/>
              <w:rPr>
                <w:sz w:val="24"/>
              </w:rPr>
            </w:pPr>
            <w:r>
              <w:rPr>
                <w:sz w:val="24"/>
              </w:rPr>
              <w:t>Special Purpose – Justice</w:t>
            </w:r>
          </w:p>
        </w:tc>
        <w:tc>
          <w:tcPr>
            <w:tcW w:w="2998" w:type="dxa"/>
          </w:tcPr>
          <w:p>
            <w:pPr>
              <w:pStyle w:val="TableParagraph"/>
              <w:ind w:right="50"/>
              <w:jc w:val="right"/>
              <w:rPr>
                <w:sz w:val="24"/>
              </w:rPr>
            </w:pPr>
            <w:r>
              <w:rPr>
                <w:sz w:val="24"/>
              </w:rPr>
              <w:t>.8443</w:t>
            </w:r>
          </w:p>
        </w:tc>
      </w:tr>
      <w:tr>
        <w:trPr>
          <w:trHeight w:val="275" w:hRule="atLeast"/>
        </w:trPr>
        <w:tc>
          <w:tcPr>
            <w:tcW w:w="6463" w:type="dxa"/>
          </w:tcPr>
          <w:p>
            <w:pPr>
              <w:pStyle w:val="TableParagraph"/>
              <w:ind w:left="50"/>
              <w:rPr>
                <w:sz w:val="24"/>
              </w:rPr>
            </w:pPr>
            <w:r>
              <w:rPr>
                <w:sz w:val="24"/>
              </w:rPr>
              <w:t>Special Purpose – Elder Person</w:t>
            </w:r>
          </w:p>
        </w:tc>
        <w:tc>
          <w:tcPr>
            <w:tcW w:w="2998" w:type="dxa"/>
          </w:tcPr>
          <w:p>
            <w:pPr>
              <w:pStyle w:val="TableParagraph"/>
              <w:ind w:right="50"/>
              <w:jc w:val="right"/>
              <w:rPr>
                <w:sz w:val="24"/>
              </w:rPr>
            </w:pPr>
            <w:r>
              <w:rPr>
                <w:sz w:val="24"/>
              </w:rPr>
              <w:t>.2988</w:t>
            </w:r>
          </w:p>
        </w:tc>
      </w:tr>
      <w:tr>
        <w:trPr>
          <w:trHeight w:val="270" w:hRule="atLeast"/>
        </w:trPr>
        <w:tc>
          <w:tcPr>
            <w:tcW w:w="6463" w:type="dxa"/>
          </w:tcPr>
          <w:p>
            <w:pPr>
              <w:pStyle w:val="TableParagraph"/>
              <w:spacing w:line="251" w:lineRule="exact"/>
              <w:ind w:left="50"/>
              <w:rPr>
                <w:sz w:val="24"/>
              </w:rPr>
            </w:pPr>
            <w:r>
              <w:rPr>
                <w:sz w:val="24"/>
              </w:rPr>
              <w:t>Special Purpose – Housing and Homeless</w:t>
            </w:r>
          </w:p>
        </w:tc>
        <w:tc>
          <w:tcPr>
            <w:tcW w:w="2998" w:type="dxa"/>
          </w:tcPr>
          <w:p>
            <w:pPr>
              <w:pStyle w:val="TableParagraph"/>
              <w:spacing w:line="251" w:lineRule="exact"/>
              <w:ind w:right="50"/>
              <w:jc w:val="right"/>
              <w:rPr>
                <w:sz w:val="24"/>
              </w:rPr>
            </w:pPr>
            <w:r>
              <w:rPr>
                <w:sz w:val="24"/>
              </w:rPr>
              <w:t>.4981</w:t>
            </w:r>
          </w:p>
        </w:tc>
      </w:tr>
    </w:tbl>
    <w:p>
      <w:pPr>
        <w:pStyle w:val="BodyText"/>
        <w:rPr>
          <w:sz w:val="17"/>
        </w:rPr>
      </w:pPr>
    </w:p>
    <w:p>
      <w:pPr>
        <w:pStyle w:val="BodyText"/>
        <w:spacing w:before="90"/>
        <w:ind w:left="160" w:right="155"/>
      </w:pPr>
      <w:r>
        <w:rPr/>
        <w:t>BE IT FURTHER RESOLVED, that the revenues received by the County under Public Acts 106 and 107, 1985 (Convention Facility Tax revenue) shall not be used to reduce the County's 2026/2027 operating millage as defined by Public Act 2, 1986.</w:t>
      </w:r>
    </w:p>
    <w:p>
      <w:pPr>
        <w:pStyle w:val="BodyText"/>
        <w:spacing w:before="11"/>
        <w:rPr>
          <w:sz w:val="23"/>
        </w:rPr>
      </w:pPr>
    </w:p>
    <w:p>
      <w:pPr>
        <w:pStyle w:val="BodyText"/>
        <w:ind w:left="160" w:right="382"/>
      </w:pPr>
      <w:r>
        <w:rPr/>
        <w:t>BE IT FURTHER RESOLVED, that in accordance with Public Act 2 of 1986, that 50% of the actual Convention Facility Tax revenue not used to reduce the County's operating tax rate shall be transmitted to the Mid-State Health Network, with the remaining revenues to be deposited in the County's General Fund.</w:t>
      </w:r>
    </w:p>
    <w:p>
      <w:pPr>
        <w:pStyle w:val="BodyText"/>
      </w:pPr>
    </w:p>
    <w:p>
      <w:pPr>
        <w:pStyle w:val="BodyText"/>
        <w:ind w:left="160"/>
      </w:pPr>
      <w:r>
        <w:rPr/>
        <w:t>BE IT FURTHER RESOLVED, that the revenues received by the County under Public Act 264 of 1987 (Health and Safety Fund Act) shall not be used to reduce the County's 2026/2027 operating millage levy, and that 11/17 of the actual Health and Safety Fund Act revenue not used to reduce the County's operating tax rate shall be appropriated to the Ingham County Health Department budget for those public health prevention programs and services whose costs are in excess of 1989 appropriation levels.</w:t>
      </w:r>
    </w:p>
    <w:p>
      <w:pPr>
        <w:pStyle w:val="BodyText"/>
      </w:pPr>
    </w:p>
    <w:p>
      <w:pPr>
        <w:pStyle w:val="BodyText"/>
        <w:ind w:left="160" w:right="129"/>
      </w:pPr>
      <w:r>
        <w:rPr/>
        <w:t>BE IT FURTHER RESOLVED, that in accordance with Public Act 264 of 1987, that 5/17 of the actual Health and Safety Fund Act revenue not used to reduce the County's operating tax rate shall be used for personnel and operating costs which are in excess of 1988 appropriation levels at the Circuit Court, Family Court, District Court, and Sheriff Department Law Enforcement with the remaining revenues generated by P.A. 264 of 1987 to be used for other General Fund expenditures.</w:t>
      </w:r>
    </w:p>
    <w:p>
      <w:pPr>
        <w:pStyle w:val="BodyText"/>
      </w:pPr>
    </w:p>
    <w:p>
      <w:pPr>
        <w:pStyle w:val="BodyText"/>
        <w:spacing w:before="1"/>
        <w:ind w:left="160" w:right="709"/>
      </w:pPr>
      <w:r>
        <w:rPr/>
        <w:t>BE IT FURTHER RESOLVED, that the adopted budget is based on current estimates of revenues and expenditures, and that the Board of Commissioners may find it necessary to adjust budgeted revenues and expenditures from time to time during the year.</w:t>
      </w:r>
    </w:p>
    <w:p>
      <w:pPr>
        <w:pStyle w:val="BodyText"/>
        <w:spacing w:before="11"/>
        <w:rPr>
          <w:sz w:val="23"/>
        </w:rPr>
      </w:pPr>
    </w:p>
    <w:p>
      <w:pPr>
        <w:pStyle w:val="BodyText"/>
        <w:ind w:left="160" w:right="123"/>
      </w:pPr>
      <w:r>
        <w:rPr/>
        <w:t>BE IT FURTHER RESOLVED, that the County Controller is hereby authorized to make budgetary transfers within the various funds and authorize expenditures in accordance with the budgetary procedures established by the Board of Commissioners in Resolution #90-274, as amended by Resolutions #94-93 and #04-253, a summary of which has been forwarded by the Controller to each department head, court and elected official.</w:t>
      </w:r>
    </w:p>
    <w:p>
      <w:pPr>
        <w:pStyle w:val="BodyText"/>
      </w:pPr>
    </w:p>
    <w:p>
      <w:pPr>
        <w:pStyle w:val="BodyText"/>
        <w:ind w:left="160" w:right="102"/>
        <w:rPr>
          <w:b/>
        </w:rPr>
      </w:pPr>
      <w:r>
        <w:rPr/>
        <w:t>BE IT FURTHER RESOLVED, that expenditures shall not be incurred in excess of the individual budgets adopted herein without first amending the budget pursuant to the budgetary procedures established by the Board of Commissioners in Resolution #90-274, as amended by Resolutions #94-93 and #04-253</w:t>
      </w:r>
      <w:r>
        <w:rPr>
          <w:b/>
        </w:rPr>
        <w:t>.</w:t>
      </w:r>
    </w:p>
    <w:p>
      <w:pPr>
        <w:pStyle w:val="BodyText"/>
        <w:rPr>
          <w:b/>
        </w:rPr>
      </w:pPr>
    </w:p>
    <w:p>
      <w:pPr>
        <w:pStyle w:val="BodyText"/>
        <w:ind w:left="160"/>
      </w:pPr>
      <w:r>
        <w:rPr/>
        <w:t>BE IT FURTHER RESOLVED, that all purchases made with funds appropriated in this budget shall be made in conformance with the County’s Purchasing Procedures, as adopted and amended by the Board, and that these budgeted funds are appropriated contingent upon compliance with the County’s Purchasing Procedures.</w:t>
      </w:r>
    </w:p>
    <w:p>
      <w:pPr>
        <w:pStyle w:val="BodyText"/>
      </w:pPr>
    </w:p>
    <w:p>
      <w:pPr>
        <w:pStyle w:val="BodyText"/>
        <w:ind w:left="160" w:right="347"/>
      </w:pPr>
      <w:r>
        <w:rPr/>
        <w:t>BE IT FURTHER RESOLVED, that the approved Position Allocation List contained in the budget shall limit the number of permanent employees who can be employed in all departments, offices, and the courts, and no funds are appropriated for any permanent position or employee not on the approved Position Allocation List.</w:t>
      </w:r>
    </w:p>
    <w:p>
      <w:pPr>
        <w:spacing w:after="0"/>
        <w:sectPr>
          <w:pgSz w:w="12240" w:h="15840"/>
          <w:pgMar w:top="1440" w:bottom="280" w:left="560" w:right="620"/>
        </w:sectPr>
      </w:pPr>
    </w:p>
    <w:p>
      <w:pPr>
        <w:pStyle w:val="BodyText"/>
        <w:spacing w:before="10"/>
        <w:rPr>
          <w:sz w:val="10"/>
        </w:rPr>
      </w:pPr>
    </w:p>
    <w:p>
      <w:pPr>
        <w:pStyle w:val="BodyText"/>
        <w:spacing w:before="90"/>
        <w:ind w:left="160" w:right="250"/>
      </w:pPr>
      <w:r>
        <w:rPr/>
        <w:t>BE IT FURTHER RESOLVED, that the Board of Commissioners may, from time to time during the year, change the approved Position Allocation List and/or impose a hiring freeze, as circumstances warrant, and that the same limitation as to the number of permanent employees who can be employed with a revised Position Allocation List.</w:t>
      </w:r>
    </w:p>
    <w:p>
      <w:pPr>
        <w:pStyle w:val="BodyText"/>
      </w:pPr>
    </w:p>
    <w:p>
      <w:pPr>
        <w:pStyle w:val="BodyText"/>
        <w:ind w:left="160" w:right="535"/>
      </w:pPr>
      <w:r>
        <w:rPr/>
        <w:t>BE IT FURTHER RESOLVED, that certain positions contained in the Position Allocation List which are supported in some part by a grant, cost sharing, reimbursement, or some other source of outside funding are only approved contingent upon the County receiving the budgeted revenues.</w:t>
      </w:r>
    </w:p>
    <w:p>
      <w:pPr>
        <w:pStyle w:val="BodyText"/>
      </w:pPr>
    </w:p>
    <w:p>
      <w:pPr>
        <w:pStyle w:val="BodyText"/>
        <w:ind w:left="160" w:right="315"/>
      </w:pPr>
      <w:r>
        <w:rPr/>
        <w:t>BE IT FURTHER RESOLVED, that in the event that such anticipated outside funding is not received or the County is notified that it will not be received, said positions shall be considered not funded and removed from the approved Position Allocation List.</w:t>
      </w:r>
    </w:p>
    <w:p>
      <w:pPr>
        <w:pStyle w:val="BodyText"/>
      </w:pPr>
    </w:p>
    <w:p>
      <w:pPr>
        <w:pStyle w:val="BodyText"/>
        <w:ind w:left="160" w:right="229"/>
      </w:pPr>
      <w:r>
        <w:rPr/>
        <w:t>BE IT FURTHER RESOLVED, that the policies regarding temporary employees shall remain in full force and effect.</w:t>
      </w:r>
    </w:p>
    <w:p>
      <w:pPr>
        <w:pStyle w:val="BodyText"/>
      </w:pPr>
    </w:p>
    <w:p>
      <w:pPr>
        <w:pStyle w:val="BodyText"/>
        <w:ind w:left="159" w:right="115"/>
        <w:rPr>
          <w:rFonts w:ascii="Microsoft Sans Serif" w:hAnsi="Microsoft Sans Serif"/>
          <w:sz w:val="17"/>
        </w:rPr>
      </w:pPr>
      <w:r>
        <w:rPr/>
        <w:t>BE IT FURTHER RESOLVED, that budgets for all funds are adopted on a January 1st fiscal year, with the following exceptions: Friend of the Court Services Fund (215), County Health Fund (221), Indigent Defense Fund (260), Community Corrections Fund (267), Community Development Block Grant Fund (280), Community Development Block Grant Fund (287), DHS - Child Care Fund (288), DHS - Social Welfare Fund (290), Family Division – Child Care Fund (292), Prosecuting Attorney Cooperative Reimbursement Grant Fund (298), and Community Health Center Network Fund (511), all of which are adopted on an October 1st fiscal year.</w:t>
      </w:r>
      <w:r>
        <w:rPr>
          <w:rFonts w:ascii="Microsoft Sans Serif" w:hAnsi="Microsoft Sans Serif"/>
          <w:w w:val="100"/>
          <w:sz w:val="17"/>
        </w:rPr>
        <w:t> </w:t>
      </w:r>
    </w:p>
    <w:p>
      <w:pPr>
        <w:pStyle w:val="BodyText"/>
        <w:spacing w:before="5"/>
        <w:rPr>
          <w:rFonts w:ascii="Microsoft Sans Serif"/>
        </w:rPr>
      </w:pPr>
    </w:p>
    <w:p>
      <w:pPr>
        <w:pStyle w:val="BodyText"/>
        <w:ind w:left="160" w:right="115"/>
      </w:pPr>
      <w:r>
        <w:rPr/>
        <w:t>BE IT FURTHER RESOLVED, that the Board of Commissioners authorizes the use of budgeted funds for the purchase of vehicles and necessary equipment such as marking kits, light bars, sirens, prisoner transport shields, radar, etc., from the State of Michigan and other municipal cooperative purchasing programs approved by the Purchasing Department.</w:t>
      </w:r>
    </w:p>
    <w:p>
      <w:pPr>
        <w:pStyle w:val="BodyText"/>
      </w:pPr>
    </w:p>
    <w:p>
      <w:pPr>
        <w:pStyle w:val="BodyText"/>
        <w:ind w:left="160" w:right="270"/>
      </w:pPr>
      <w:r>
        <w:rPr/>
        <w:t>BE IT FURTHER RESOLVED, that the vehicles being replaced are authorized to be transferred to another county department or agency for fair-market value established by the Purchasing Director, or are authorized to be sold at state auction or to a private company; the method of disposal shall be that which is deemed to be in the best interest of the County as determined by the Purchasing Director.</w:t>
      </w:r>
    </w:p>
    <w:p>
      <w:pPr>
        <w:pStyle w:val="BodyText"/>
      </w:pPr>
    </w:p>
    <w:p>
      <w:pPr>
        <w:pStyle w:val="BodyText"/>
        <w:ind w:left="160" w:right="235"/>
      </w:pPr>
      <w:r>
        <w:rPr/>
        <w:t>BE IT FURTHER RESOLVED, that the Ingham County Sheriff’s Office is authorized to sell at fair-market value any used Ingham County Patrol Vehicles to the Ingham Intermediate School District for its Law Enforcement Program.</w:t>
      </w:r>
    </w:p>
    <w:p>
      <w:pPr>
        <w:pStyle w:val="BodyText"/>
      </w:pPr>
    </w:p>
    <w:p>
      <w:pPr>
        <w:pStyle w:val="BodyText"/>
        <w:ind w:left="160" w:right="102"/>
      </w:pPr>
      <w:r>
        <w:rPr/>
        <w:t>BE IT FURTHER RESOLVED, that all grants and funding arrangements with entities whose fiscal years do not coincide with the County's fiscal year be considered authorized providing that they have been authorized in the adopted budget, and the remaining portion of the time period and funds are included in the Controller’s Recommended Budget for the succeeding fiscal year.</w:t>
      </w:r>
    </w:p>
    <w:p>
      <w:pPr>
        <w:pStyle w:val="BodyText"/>
      </w:pPr>
    </w:p>
    <w:p>
      <w:pPr>
        <w:pStyle w:val="BodyText"/>
        <w:ind w:left="160" w:right="130"/>
      </w:pPr>
      <w:r>
        <w:rPr/>
        <w:t>BE IT FURTHER RESOLVED, that funds appropriated to a community agency but not spent by the end of the fiscal year may be carried over into the next fiscal year without additional Board approval, provided the Controller and Budget Office certify that the funds are available, and that the agency wishing to have said funds reappropriated provides a definitive scope of work for review by the Controller’s Office and the County Attorney.</w:t>
      </w:r>
    </w:p>
    <w:p>
      <w:pPr>
        <w:spacing w:after="0"/>
        <w:sectPr>
          <w:pgSz w:w="12240" w:h="15840"/>
          <w:pgMar w:top="1500" w:bottom="280" w:left="560" w:right="620"/>
        </w:sectPr>
      </w:pPr>
    </w:p>
    <w:p>
      <w:pPr>
        <w:pStyle w:val="BodyText"/>
        <w:spacing w:before="10"/>
        <w:rPr>
          <w:sz w:val="10"/>
        </w:rPr>
      </w:pPr>
    </w:p>
    <w:p>
      <w:pPr>
        <w:pStyle w:val="BodyText"/>
        <w:spacing w:before="90"/>
        <w:ind w:left="160" w:right="343"/>
      </w:pPr>
      <w:r>
        <w:rPr/>
        <w:t>BE IT FURTHER RESOLVED, that any request for reappropriation to the 2027 budget of funds not spent in 2026 for a specific project must be received by the Budget Office no later than March 15, 2027, otherwise the request for reappropriation will not be considered.</w:t>
      </w:r>
    </w:p>
    <w:p>
      <w:pPr>
        <w:pStyle w:val="BodyText"/>
      </w:pPr>
    </w:p>
    <w:p>
      <w:pPr>
        <w:spacing w:before="0"/>
        <w:ind w:left="160" w:right="0" w:firstLine="0"/>
        <w:jc w:val="left"/>
        <w:rPr>
          <w:sz w:val="24"/>
        </w:rPr>
      </w:pPr>
      <w:r>
        <w:rPr>
          <w:b/>
          <w:sz w:val="24"/>
        </w:rPr>
        <w:t>FINANCE: Yeas: </w:t>
      </w:r>
      <w:r>
        <w:rPr>
          <w:sz w:val="24"/>
        </w:rPr>
        <w:t>Grebner, Morgan, Sebolt, Polsdofer, Pratt, Maiville</w:t>
      </w:r>
    </w:p>
    <w:p>
      <w:pPr>
        <w:tabs>
          <w:tab w:pos="2223" w:val="left" w:leader="none"/>
        </w:tabs>
        <w:spacing w:before="41"/>
        <w:ind w:left="76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500" w:bottom="280" w:left="56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icrosoft Sans Serif">
    <w:altName w:val="Microsoft Sans Serif"/>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655" w:right="98"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line="256" w:lineRule="exac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2026-10-28T18:53:27Z</dcterms:created>
  <dcterms:modified xsi:type="dcterms:W3CDTF">2026-10-28T18:53:27Z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